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jc w:val="left"/>
        <w:rPr/>
      </w:pPr>
      <w:r>
        <w:rPr/>
        <w:t>Children 2023, 10, 1827. https://doi.org/10.3390/children10111827 and Children 2023, 10, 843. Children 2024, 11, 1429. https:// doi.org/10.3390/children11121429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I found the articles you referenced: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2" w:tgtFrame="_new">
        <w:r>
          <w:rPr>
            <w:rStyle w:val="Hyperlink"/>
          </w:rPr>
          <w:t>Children 2023, 10, 1827</w:t>
        </w:r>
      </w:hyperlink>
      <w:r>
        <w:rPr/>
        <w:t xml:space="preserve"> — </w:t>
      </w:r>
      <w:r>
        <w:rPr>
          <w:rStyle w:val="Emphasis"/>
        </w:rPr>
        <w:t>“Asymptomatic Infant Rib Fractures Are Primarily Non-abuse-Related and Should Not Be Used to Assess Physical Child Abuse”</w:t>
      </w:r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3" w:tgtFrame="_new">
        <w:r>
          <w:rPr>
            <w:rStyle w:val="Hyperlink"/>
          </w:rPr>
          <w:t>Children 2023, 10, 843</w:t>
        </w:r>
      </w:hyperlink>
      <w:r>
        <w:rPr/>
        <w:t xml:space="preserve"> — </w:t>
      </w:r>
      <w:r>
        <w:rPr>
          <w:rStyle w:val="Emphasis"/>
        </w:rPr>
        <w:t>“Child Abuse, Misdiagnosed by an Expertise Center—Part II—Misuse of Bayes’ Theorem”</w:t>
      </w:r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Children 2024, 11, 1429 — </w:t>
      </w:r>
      <w:r>
        <w:rPr>
          <w:rStyle w:val="Emphasis"/>
        </w:rPr>
        <w:t>Comment on the 2023 Bayes’ theorem article</w:t>
      </w:r>
      <w:r>
        <w:rPr/>
        <w:t xml:space="preserve"> </w:t>
      </w:r>
    </w:p>
    <w:p>
      <w:pPr>
        <w:pStyle w:val="BodyText"/>
        <w:bidi w:val="0"/>
        <w:jc w:val="left"/>
        <w:rPr/>
      </w:pPr>
      <w:r>
        <w:rPr/>
        <w:t>What would you like me to do with them? For example: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summarize the papers,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compare their arguments,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assess scientific quality,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explain the Bayes’ theorem issue,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extract key findings,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generate citations (APA/Vancouver/etc.),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or help write a critique/review. </w:t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>item 1,2,4 and 7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Heading2"/>
        <w:bidi w:val="0"/>
        <w:jc w:val="left"/>
        <w:rPr/>
      </w:pPr>
      <w:r>
        <w:rPr/>
        <w:t>1. Summary of the papers</w:t>
      </w:r>
    </w:p>
    <w:p>
      <w:pPr>
        <w:pStyle w:val="Heading3"/>
        <w:bidi w:val="0"/>
        <w:jc w:val="left"/>
        <w:rPr/>
      </w:pPr>
      <w:r>
        <w:rPr/>
        <w:t xml:space="preserve">Paper 1 — </w:t>
      </w:r>
      <w:r>
        <w:rPr>
          <w:rStyle w:val="Emphasis"/>
        </w:rPr>
        <w:t>Asymptomatic Infant Rib Fractures Are Primarily Non-abuse-Related and Should Not Be Used to Assess Physical Child Abuse</w:t>
      </w:r>
    </w:p>
    <w:p>
      <w:pPr>
        <w:pStyle w:val="BodyText"/>
        <w:bidi w:val="0"/>
        <w:jc w:val="left"/>
        <w:rPr/>
      </w:pPr>
      <w:r>
        <w:rPr/>
        <w:t xml:space="preserve">The authors argue that occult (hidden) infant rib fractures are not specific for abuse and may arise from several non-abusive causes, including birth trauma, metabolic bone disease, connective tissue disorders, prematurity, or normal handling in medically fragile infants. They challenge the long-standing assumption that rib fractures are “highly specific” for abuse and claim the evidence base supporting that assumption is weak and circular. </w:t>
      </w:r>
    </w:p>
    <w:p>
      <w:pPr>
        <w:pStyle w:val="BodyText"/>
        <w:bidi w:val="0"/>
        <w:jc w:val="left"/>
        <w:rPr/>
      </w:pPr>
      <w:r>
        <w:rPr/>
        <w:t>The paper emphasizes: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asymptomatic rib fractures may be more common than previously recognized,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many studies are based on populations already suspected of abuse,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diagnostic bias may inflate the perceived abuse association,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clinicians should consider alternative medical explanations before concluding abuse. </w:t>
      </w:r>
    </w:p>
    <w:p>
      <w:pPr>
        <w:pStyle w:val="Horisontelllinje"/>
        <w:bidi w:val="0"/>
        <w:jc w:val="left"/>
        <w:rPr/>
      </w:pPr>
      <w:r>
        <w:rPr/>
      </w:r>
    </w:p>
    <w:p>
      <w:pPr>
        <w:pStyle w:val="Heading3"/>
        <w:bidi w:val="0"/>
        <w:jc w:val="left"/>
        <w:rPr/>
      </w:pPr>
      <w:r>
        <w:rPr/>
        <w:t xml:space="preserve">Paper 2 — </w:t>
      </w:r>
      <w:r>
        <w:rPr>
          <w:rStyle w:val="Emphasis"/>
        </w:rPr>
        <w:t>Child Abuse, Misdiagnosed by an Expertise Center—Part II—Misuse of Bayes’ Theorem</w:t>
      </w:r>
    </w:p>
    <w:p>
      <w:pPr>
        <w:pStyle w:val="BodyText"/>
        <w:bidi w:val="0"/>
        <w:jc w:val="left"/>
        <w:rPr/>
      </w:pPr>
      <w:r>
        <w:rPr/>
        <w:t xml:space="preserve">This paper presents a case report involving bruising and healed rib fractures in an infant later argued to have possible inherited connective tissue fragility (hypermobile Ehlers–Danlos syndrome). The authors claim a Dutch child-abuse expert center incorrectly applied Bayesian reasoning by interpreting a likelihood ratio as direct proof that abuse was “10–100 times more likely.” </w:t>
      </w:r>
    </w:p>
    <w:p>
      <w:pPr>
        <w:pStyle w:val="BodyText"/>
        <w:bidi w:val="0"/>
        <w:jc w:val="left"/>
        <w:rPr/>
      </w:pPr>
      <w:r>
        <w:rPr/>
        <w:t>The authors argue: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clinicians confused </w:t>
      </w:r>
      <w:r>
        <w:rPr>
          <w:rStyle w:val="Emphasis"/>
        </w:rPr>
        <w:t>likelihood ratios</w:t>
      </w:r>
      <w:r>
        <w:rPr/>
        <w:t xml:space="preserve"> with </w:t>
      </w:r>
      <w:r>
        <w:rPr>
          <w:rStyle w:val="Emphasis"/>
        </w:rPr>
        <w:t>posterior probability</w:t>
      </w:r>
      <w:r>
        <w:rPr/>
        <w:t xml:space="preserve">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the baseline prevalence of abuse (prior probability) was not properly incorporated,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rare findings can still have low predictive value when the condition itself is rare,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Bayesian reasoning should reduce overdiagnosis of abuse. </w:t>
      </w:r>
    </w:p>
    <w:p>
      <w:pPr>
        <w:pStyle w:val="Horisontelllinje"/>
        <w:bidi w:val="0"/>
        <w:jc w:val="left"/>
        <w:rPr/>
      </w:pPr>
      <w:r>
        <w:rPr/>
      </w:r>
    </w:p>
    <w:p>
      <w:pPr>
        <w:pStyle w:val="Heading3"/>
        <w:bidi w:val="0"/>
        <w:jc w:val="left"/>
        <w:rPr/>
      </w:pPr>
      <w:r>
        <w:rPr/>
        <w:t>Paper 3 / Comment (2024, 11, 1429)</w:t>
      </w:r>
    </w:p>
    <w:p>
      <w:pPr>
        <w:pStyle w:val="BodyText"/>
        <w:bidi w:val="0"/>
        <w:jc w:val="left"/>
        <w:rPr/>
      </w:pPr>
      <w:r>
        <w:rPr/>
        <w:t xml:space="preserve">This later commentary sharply criticizes the Bayesian paper and argues the authors misrepresented both the clinical reasoning and Bayesian statistics. The commentators include forensic pediatric and child-abuse specialists. </w:t>
      </w:r>
    </w:p>
    <w:p>
      <w:pPr>
        <w:pStyle w:val="BodyText"/>
        <w:bidi w:val="0"/>
        <w:jc w:val="left"/>
        <w:rPr/>
      </w:pPr>
      <w:r>
        <w:rPr/>
        <w:t>Their main criticisms: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the original article allegedly oversimplified abuse diagnostics,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the prior probabilities chosen were questionable,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the literature review was selective,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Bayesian calculations in abuse medicine cannot be reduced to one numerical formula,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the article risked misleading courts and clinicians. </w:t>
      </w:r>
    </w:p>
    <w:p>
      <w:pPr>
        <w:pStyle w:val="Horisontelllinje"/>
        <w:bidi w:val="0"/>
        <w:jc w:val="left"/>
        <w:rPr/>
      </w:pPr>
      <w:r>
        <w:rPr/>
      </w:r>
    </w:p>
    <w:p>
      <w:pPr>
        <w:pStyle w:val="Heading2"/>
        <w:bidi w:val="0"/>
        <w:jc w:val="left"/>
        <w:rPr/>
      </w:pPr>
      <w:r>
        <w:rPr/>
        <w:t>2. Comparison of the arguments</w:t>
      </w:r>
    </w:p>
    <w:tbl>
      <w:tblPr>
        <w:tblW w:w="9638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75"/>
        <w:gridCol w:w="3723"/>
        <w:gridCol w:w="4140"/>
      </w:tblGrid>
      <w:tr>
        <w:trPr>
          <w:tblHeader w:val="true"/>
        </w:trPr>
        <w:tc>
          <w:tcPr>
            <w:tcW w:w="1775" w:type="dxa"/>
            <w:tcBorders/>
            <w:vAlign w:val="center"/>
          </w:tcPr>
          <w:p>
            <w:pPr>
              <w:pStyle w:val="Tabellrubrik"/>
              <w:suppressLineNumbers/>
              <w:bidi w:val="0"/>
              <w:jc w:val="center"/>
              <w:rPr/>
            </w:pPr>
            <w:r>
              <w:rPr/>
              <w:t>Topic</w:t>
            </w:r>
          </w:p>
        </w:tc>
        <w:tc>
          <w:tcPr>
            <w:tcW w:w="3723" w:type="dxa"/>
            <w:tcBorders/>
            <w:vAlign w:val="center"/>
          </w:tcPr>
          <w:p>
            <w:pPr>
              <w:pStyle w:val="Tabellrubrik"/>
              <w:suppressLineNumbers/>
              <w:bidi w:val="0"/>
              <w:jc w:val="center"/>
              <w:rPr/>
            </w:pPr>
            <w:r>
              <w:rPr/>
              <w:t>van Gemert papers</w:t>
            </w:r>
          </w:p>
        </w:tc>
        <w:tc>
          <w:tcPr>
            <w:tcW w:w="4140" w:type="dxa"/>
            <w:tcBorders/>
            <w:vAlign w:val="center"/>
          </w:tcPr>
          <w:p>
            <w:pPr>
              <w:pStyle w:val="Tabellrubrik"/>
              <w:suppressLineNumbers/>
              <w:bidi w:val="0"/>
              <w:jc w:val="center"/>
              <w:rPr/>
            </w:pPr>
            <w:r>
              <w:rPr/>
              <w:t>Critical commentaries</w:t>
            </w:r>
          </w:p>
        </w:tc>
      </w:tr>
      <w:tr>
        <w:trPr/>
        <w:tc>
          <w:tcPr>
            <w:tcW w:w="1775" w:type="dxa"/>
            <w:tcBorders/>
            <w:vAlign w:val="center"/>
          </w:tcPr>
          <w:p>
            <w:pPr>
              <w:pStyle w:val="Tabellinnehll"/>
              <w:widowControl w:val="false"/>
              <w:suppressLineNumbers/>
              <w:bidi w:val="0"/>
              <w:jc w:val="left"/>
              <w:rPr/>
            </w:pPr>
            <w:r>
              <w:rPr/>
              <w:t>Rib fractures</w:t>
            </w:r>
          </w:p>
        </w:tc>
        <w:tc>
          <w:tcPr>
            <w:tcW w:w="3723" w:type="dxa"/>
            <w:tcBorders/>
            <w:vAlign w:val="center"/>
          </w:tcPr>
          <w:p>
            <w:pPr>
              <w:pStyle w:val="Tabellinnehll"/>
              <w:widowControl w:val="false"/>
              <w:suppressLineNumbers/>
              <w:bidi w:val="0"/>
              <w:jc w:val="left"/>
              <w:rPr/>
            </w:pPr>
            <w:r>
              <w:rPr/>
              <w:t>Often non-specific and potentially non-abusive</w:t>
            </w:r>
          </w:p>
        </w:tc>
        <w:tc>
          <w:tcPr>
            <w:tcW w:w="4140" w:type="dxa"/>
            <w:tcBorders/>
            <w:vAlign w:val="center"/>
          </w:tcPr>
          <w:p>
            <w:pPr>
              <w:pStyle w:val="Tabellinnehll"/>
              <w:widowControl w:val="false"/>
              <w:suppressLineNumbers/>
              <w:bidi w:val="0"/>
              <w:jc w:val="left"/>
              <w:rPr/>
            </w:pPr>
            <w:r>
              <w:rPr/>
              <w:t>Still strongly associated with abuse in many contexts</w:t>
            </w:r>
          </w:p>
        </w:tc>
      </w:tr>
      <w:tr>
        <w:trPr/>
        <w:tc>
          <w:tcPr>
            <w:tcW w:w="1775" w:type="dxa"/>
            <w:tcBorders/>
            <w:vAlign w:val="center"/>
          </w:tcPr>
          <w:p>
            <w:pPr>
              <w:pStyle w:val="Tabellinnehll"/>
              <w:widowControl w:val="false"/>
              <w:suppressLineNumbers/>
              <w:bidi w:val="0"/>
              <w:jc w:val="left"/>
              <w:rPr/>
            </w:pPr>
            <w:r>
              <w:rPr/>
              <w:t>Diagnostic approach</w:t>
            </w:r>
          </w:p>
        </w:tc>
        <w:tc>
          <w:tcPr>
            <w:tcW w:w="3723" w:type="dxa"/>
            <w:tcBorders/>
            <w:vAlign w:val="center"/>
          </w:tcPr>
          <w:p>
            <w:pPr>
              <w:pStyle w:val="Tabellinnehll"/>
              <w:widowControl w:val="false"/>
              <w:suppressLineNumbers/>
              <w:bidi w:val="0"/>
              <w:jc w:val="left"/>
              <w:rPr/>
            </w:pPr>
            <w:r>
              <w:rPr/>
              <w:t>Current child-protection systems overdiagnose abuse</w:t>
            </w:r>
          </w:p>
        </w:tc>
        <w:tc>
          <w:tcPr>
            <w:tcW w:w="4140" w:type="dxa"/>
            <w:tcBorders/>
            <w:vAlign w:val="center"/>
          </w:tcPr>
          <w:p>
            <w:pPr>
              <w:pStyle w:val="Tabellinnehll"/>
              <w:widowControl w:val="false"/>
              <w:suppressLineNumbers/>
              <w:bidi w:val="0"/>
              <w:jc w:val="left"/>
              <w:rPr/>
            </w:pPr>
            <w:r>
              <w:rPr/>
              <w:t>Existing protocols are evidence-based and multidisciplinary</w:t>
            </w:r>
          </w:p>
        </w:tc>
      </w:tr>
      <w:tr>
        <w:trPr/>
        <w:tc>
          <w:tcPr>
            <w:tcW w:w="1775" w:type="dxa"/>
            <w:tcBorders/>
            <w:vAlign w:val="center"/>
          </w:tcPr>
          <w:p>
            <w:pPr>
              <w:pStyle w:val="Tabellinnehll"/>
              <w:widowControl w:val="false"/>
              <w:suppressLineNumbers/>
              <w:bidi w:val="0"/>
              <w:jc w:val="left"/>
              <w:rPr/>
            </w:pPr>
            <w:r>
              <w:rPr/>
              <w:t>Bayesian reasoning</w:t>
            </w:r>
          </w:p>
        </w:tc>
        <w:tc>
          <w:tcPr>
            <w:tcW w:w="3723" w:type="dxa"/>
            <w:tcBorders/>
            <w:vAlign w:val="center"/>
          </w:tcPr>
          <w:p>
            <w:pPr>
              <w:pStyle w:val="Tabellinnehll"/>
              <w:widowControl w:val="false"/>
              <w:suppressLineNumbers/>
              <w:bidi w:val="0"/>
              <w:jc w:val="left"/>
              <w:rPr/>
            </w:pPr>
            <w:r>
              <w:rPr/>
              <w:t>Misapplied in child abuse evaluations</w:t>
            </w:r>
          </w:p>
        </w:tc>
        <w:tc>
          <w:tcPr>
            <w:tcW w:w="4140" w:type="dxa"/>
            <w:tcBorders/>
            <w:vAlign w:val="center"/>
          </w:tcPr>
          <w:p>
            <w:pPr>
              <w:pStyle w:val="Tabellinnehll"/>
              <w:widowControl w:val="false"/>
              <w:suppressLineNumbers/>
              <w:bidi w:val="0"/>
              <w:jc w:val="left"/>
              <w:rPr/>
            </w:pPr>
            <w:r>
              <w:rPr/>
              <w:t>Authors themselves misapplied or oversimplified Bayes</w:t>
            </w:r>
          </w:p>
        </w:tc>
      </w:tr>
      <w:tr>
        <w:trPr/>
        <w:tc>
          <w:tcPr>
            <w:tcW w:w="1775" w:type="dxa"/>
            <w:tcBorders/>
            <w:vAlign w:val="center"/>
          </w:tcPr>
          <w:p>
            <w:pPr>
              <w:pStyle w:val="Tabellinnehll"/>
              <w:widowControl w:val="false"/>
              <w:suppressLineNumbers/>
              <w:bidi w:val="0"/>
              <w:jc w:val="left"/>
              <w:rPr/>
            </w:pPr>
            <w:r>
              <w:rPr/>
              <w:t>Alternative diagnoses</w:t>
            </w:r>
          </w:p>
        </w:tc>
        <w:tc>
          <w:tcPr>
            <w:tcW w:w="3723" w:type="dxa"/>
            <w:tcBorders/>
            <w:vAlign w:val="center"/>
          </w:tcPr>
          <w:p>
            <w:pPr>
              <w:pStyle w:val="Tabellinnehll"/>
              <w:widowControl w:val="false"/>
              <w:suppressLineNumbers/>
              <w:bidi w:val="0"/>
              <w:jc w:val="left"/>
              <w:rPr/>
            </w:pPr>
            <w:r>
              <w:rPr/>
              <w:t>Underrecognized (EDS, bone fragility, birth trauma)</w:t>
            </w:r>
          </w:p>
        </w:tc>
        <w:tc>
          <w:tcPr>
            <w:tcW w:w="4140" w:type="dxa"/>
            <w:tcBorders/>
            <w:vAlign w:val="center"/>
          </w:tcPr>
          <w:p>
            <w:pPr>
              <w:pStyle w:val="Tabellinnehll"/>
              <w:widowControl w:val="false"/>
              <w:suppressLineNumbers/>
              <w:bidi w:val="0"/>
              <w:jc w:val="left"/>
              <w:rPr/>
            </w:pPr>
            <w:r>
              <w:rPr/>
              <w:t>Important, but already considered in proper evaluations</w:t>
            </w:r>
          </w:p>
        </w:tc>
      </w:tr>
      <w:tr>
        <w:trPr/>
        <w:tc>
          <w:tcPr>
            <w:tcW w:w="1775" w:type="dxa"/>
            <w:tcBorders/>
            <w:vAlign w:val="center"/>
          </w:tcPr>
          <w:p>
            <w:pPr>
              <w:pStyle w:val="Tabellinnehll"/>
              <w:widowControl w:val="false"/>
              <w:suppressLineNumbers/>
              <w:bidi w:val="0"/>
              <w:jc w:val="left"/>
              <w:rPr/>
            </w:pPr>
            <w:r>
              <w:rPr/>
              <w:t>Main concern</w:t>
            </w:r>
          </w:p>
        </w:tc>
        <w:tc>
          <w:tcPr>
            <w:tcW w:w="3723" w:type="dxa"/>
            <w:tcBorders/>
            <w:vAlign w:val="center"/>
          </w:tcPr>
          <w:p>
            <w:pPr>
              <w:pStyle w:val="Tabellinnehll"/>
              <w:widowControl w:val="false"/>
              <w:suppressLineNumbers/>
              <w:bidi w:val="0"/>
              <w:jc w:val="left"/>
              <w:rPr/>
            </w:pPr>
            <w:r>
              <w:rPr/>
              <w:t>False accusations and family separation</w:t>
            </w:r>
          </w:p>
        </w:tc>
        <w:tc>
          <w:tcPr>
            <w:tcW w:w="4140" w:type="dxa"/>
            <w:tcBorders/>
            <w:vAlign w:val="center"/>
          </w:tcPr>
          <w:p>
            <w:pPr>
              <w:pStyle w:val="Tabellinnehll"/>
              <w:widowControl w:val="false"/>
              <w:suppressLineNumbers/>
              <w:bidi w:val="0"/>
              <w:jc w:val="left"/>
              <w:rPr/>
            </w:pPr>
            <w:r>
              <w:rPr/>
              <w:t>Failure to recognize true abuse and protect children</w:t>
            </w:r>
          </w:p>
        </w:tc>
      </w:tr>
    </w:tbl>
    <w:p>
      <w:pPr>
        <w:pStyle w:val="BodyText"/>
        <w:bidi w:val="0"/>
        <w:jc w:val="left"/>
        <w:rPr/>
      </w:pPr>
      <w:r>
        <w:rPr/>
        <w:t>The disagreement is not only scientific but also philosophical: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one side prioritizes avoiding false accusations,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the other prioritizes avoiding missed abuse cases. </w:t>
      </w:r>
    </w:p>
    <w:p>
      <w:pPr>
        <w:pStyle w:val="Horisontelllinje"/>
        <w:bidi w:val="0"/>
        <w:jc w:val="left"/>
        <w:rPr/>
      </w:pPr>
      <w:r>
        <w:rPr/>
      </w:r>
    </w:p>
    <w:p>
      <w:pPr>
        <w:pStyle w:val="Heading2"/>
        <w:bidi w:val="0"/>
        <w:jc w:val="left"/>
        <w:rPr/>
      </w:pPr>
      <w:r>
        <w:rPr/>
        <w:t>4. Explanation of the Bayes’ theorem issue</w:t>
      </w:r>
    </w:p>
    <w:p>
      <w:pPr>
        <w:pStyle w:val="BodyText"/>
        <w:bidi w:val="0"/>
        <w:jc w:val="left"/>
        <w:rPr/>
      </w:pPr>
      <w:r>
        <w:rPr/>
        <w:t>The central statistical dispute concerns conditional probability.</w:t>
      </w:r>
    </w:p>
    <w:p>
      <w:pPr>
        <w:pStyle w:val="BodyText"/>
        <w:bidi w:val="0"/>
        <w:jc w:val="left"/>
        <w:rPr/>
      </w:pPr>
      <w:r>
        <w:rPr/>
        <w:t>The original paper argues clinicians effectively treated:</w:t>
      </w:r>
    </w:p>
    <w:p>
      <w:pPr>
        <w:pStyle w:val="BodyText"/>
        <w:bidi w:val="0"/>
        <w:jc w:val="left"/>
        <w:rPr/>
      </w:pPr>
      <w:r>
        <w:rPr/>
        <w:t>P(findings∣abuse)P(findings∣non-abuse)\frac{P(\text{findings}\mid\text{abuse})}{P(\text{findings}\mid\text{non-abuse})}P(findings∣non-abuse)P(findings∣abuse)​</w:t>
      </w:r>
    </w:p>
    <w:p>
      <w:pPr>
        <w:pStyle w:val="BodyText"/>
        <w:bidi w:val="0"/>
        <w:jc w:val="left"/>
        <w:rPr/>
      </w:pPr>
      <w:r>
        <w:rPr/>
        <w:t>as if it directly meant:</w:t>
      </w:r>
    </w:p>
    <w:p>
      <w:pPr>
        <w:pStyle w:val="BodyText"/>
        <w:bidi w:val="0"/>
        <w:jc w:val="left"/>
        <w:rPr/>
      </w:pPr>
      <w:r>
        <w:rPr/>
        <w:t>P(abuse∣findings)P(\text{abuse}\mid\text{findings})P(abuse∣findings)</w:t>
      </w:r>
    </w:p>
    <w:p>
      <w:pPr>
        <w:pStyle w:val="BodyText"/>
        <w:bidi w:val="0"/>
        <w:jc w:val="left"/>
        <w:rPr/>
      </w:pPr>
      <w:r>
        <w:rPr/>
        <w:t>But these are not the same thing.</w:t>
      </w:r>
    </w:p>
    <w:p>
      <w:pPr>
        <w:pStyle w:val="BodyText"/>
        <w:bidi w:val="0"/>
        <w:jc w:val="left"/>
        <w:rPr/>
      </w:pPr>
      <w:r>
        <w:rPr/>
        <w:t xml:space="preserve">Bayes’ theorem requires inclusion of the </w:t>
      </w:r>
      <w:r>
        <w:rPr>
          <w:rStyle w:val="Emphasis"/>
        </w:rPr>
        <w:t>prior probability</w:t>
      </w:r>
      <w:r>
        <w:rPr/>
        <w:t xml:space="preserve"> of abuse:</w:t>
      </w:r>
    </w:p>
    <w:p>
      <w:pPr>
        <w:pStyle w:val="BodyText"/>
        <w:bidi w:val="0"/>
        <w:spacing w:before="0" w:after="0"/>
        <w:jc w:val="left"/>
        <w:rPr/>
      </w:pPr>
      <w:r>
        <w:rPr/>
        <w:t>P(A∣B)=P(B∣A)P(A)P(B)P(A\mid B)=\frac{P(B\mid A)P(A)}{P(B)}P(A∣B)=P(B)P(B∣A)P(A)​</w:t>
      </w:r>
    </w:p>
    <w:p>
      <w:pPr>
        <w:pStyle w:val="BodyText"/>
        <w:bidi w:val="0"/>
        <w:spacing w:before="0" w:after="0"/>
        <w:jc w:val="left"/>
        <w:rPr/>
      </w:pPr>
      <w:r>
        <w:rPr/>
        <w:t>P(A)P(A)P(A)</w:t>
      </w:r>
    </w:p>
    <w:p>
      <w:pPr>
        <w:pStyle w:val="BodyText"/>
        <w:bidi w:val="0"/>
        <w:spacing w:before="0" w:after="0"/>
        <w:jc w:val="left"/>
        <w:rPr/>
      </w:pPr>
      <w:r>
        <w:rPr/>
        <w:t>P(B∣A)P(B\mid A)P(B∣A)</w:t>
      </w:r>
    </w:p>
    <w:p>
      <w:pPr>
        <w:pStyle w:val="BodyText"/>
        <w:bidi w:val="0"/>
        <w:spacing w:before="0" w:after="0"/>
        <w:jc w:val="left"/>
        <w:rPr/>
      </w:pPr>
      <w:r>
        <w:rPr/>
        <w:t>P(B∣¬A)P(B\mid \neg A)P(B∣¬A)</w:t>
      </w:r>
    </w:p>
    <w:p>
      <w:pPr>
        <w:pStyle w:val="BodyText"/>
        <w:bidi w:val="0"/>
        <w:spacing w:before="0" w:after="0"/>
        <w:jc w:val="left"/>
        <w:rPr/>
      </w:pPr>
      <w:r>
        <w:rPr/>
        <w:t>P(A∣B)=P(B∣A)P(A)P(B)≈0.68,  P(B)≈0.25P(A\mid B)=\frac{P(B\mid A)P(A)}{P(B)}\approx 0.68,\; P(B)\approx 0.25P(A∣B)=P(B)P(B∣A)P(A)​≈0.68,P(B)≈0.25</w:t>
      </w:r>
    </w:p>
    <w:p>
      <w:pPr>
        <w:pStyle w:val="BodyText"/>
        <w:bidi w:val="0"/>
        <w:jc w:val="left"/>
        <w:rPr/>
      </w:pPr>
      <w:r>
        <w:rPr/>
        <w:t>P(B)=0.25P(B|A)P(A)=0.17P(A|B)~0.68Posterior = useful evidence / total evidence</w:t>
      </w:r>
    </w:p>
    <w:p>
      <w:pPr>
        <w:pStyle w:val="BodyText"/>
        <w:bidi w:val="0"/>
        <w:jc w:val="left"/>
        <w:rPr/>
      </w:pPr>
      <w:r>
        <w:rPr/>
        <w:t>Where: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P(A)P(A)P(A) = prior probability of abuse,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P(B∣A)P(B|A)P(B∣A) = probability of the findings if abuse occurred,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P(A∣B)P(A|B)P(A∣B) = probability of abuse after observing the findings. </w:t>
      </w:r>
    </w:p>
    <w:p>
      <w:pPr>
        <w:pStyle w:val="BodyText"/>
        <w:bidi w:val="0"/>
        <w:jc w:val="left"/>
        <w:rPr/>
      </w:pPr>
      <w:r>
        <w:rPr/>
        <w:t>The authors’ claim: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even if certain findings are more common in abuse,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if abuse itself is statistically rare,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the final probability may still remain modest. </w:t>
      </w:r>
    </w:p>
    <w:p>
      <w:pPr>
        <w:pStyle w:val="BodyText"/>
        <w:bidi w:val="0"/>
        <w:jc w:val="left"/>
        <w:rPr/>
      </w:pPr>
      <w:r>
        <w:rPr/>
        <w:t>Critics respond that: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abuse diagnosis is never based on one isolated number,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clinicians integrate history, injury patterns, imaging, social context, developmental plausibility, and multidisciplinary assessment,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the paper creates an unrealistic “single-equation” portrayal of real clinical practice. </w:t>
      </w:r>
    </w:p>
    <w:p>
      <w:pPr>
        <w:pStyle w:val="Horisontelllinje"/>
        <w:bidi w:val="0"/>
        <w:jc w:val="left"/>
        <w:rPr/>
      </w:pPr>
      <w:r>
        <w:rPr/>
      </w:r>
    </w:p>
    <w:p>
      <w:pPr>
        <w:pStyle w:val="Heading2"/>
        <w:bidi w:val="0"/>
        <w:jc w:val="left"/>
        <w:rPr/>
      </w:pPr>
      <w:r>
        <w:rPr/>
        <w:t>7. Critique / scientific quality assessment</w:t>
      </w:r>
    </w:p>
    <w:p>
      <w:pPr>
        <w:pStyle w:val="Heading3"/>
        <w:bidi w:val="0"/>
        <w:jc w:val="left"/>
        <w:rPr/>
      </w:pPr>
      <w:r>
        <w:rPr/>
        <w:t>Strengths of the van Gemert papers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They raise an important caution about diagnostic overconfidence.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They correctly emphasize that likelihood ratios alone do not equal posterior probabilities.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They highlight legitimate differential diagnoses such as: </w:t>
      </w:r>
    </w:p>
    <w:p>
      <w:pPr>
        <w:pStyle w:val="BodyText"/>
        <w:numPr>
          <w:ilvl w:val="1"/>
          <w:numId w:val="10"/>
        </w:numPr>
        <w:tabs>
          <w:tab w:val="clear" w:pos="709"/>
          <w:tab w:val="left" w:pos="1418" w:leader="none"/>
        </w:tabs>
        <w:bidi w:val="0"/>
        <w:spacing w:before="0" w:after="0"/>
        <w:ind w:hanging="283" w:left="1418"/>
        <w:jc w:val="left"/>
        <w:rPr/>
      </w:pPr>
      <w:r>
        <w:rPr/>
        <w:t xml:space="preserve">osteogenesis imperfecta, </w:t>
      </w:r>
    </w:p>
    <w:p>
      <w:pPr>
        <w:pStyle w:val="BodyText"/>
        <w:numPr>
          <w:ilvl w:val="1"/>
          <w:numId w:val="10"/>
        </w:numPr>
        <w:tabs>
          <w:tab w:val="clear" w:pos="709"/>
          <w:tab w:val="left" w:pos="1418" w:leader="none"/>
        </w:tabs>
        <w:bidi w:val="0"/>
        <w:spacing w:before="0" w:after="0"/>
        <w:ind w:hanging="283" w:left="1418"/>
        <w:jc w:val="left"/>
        <w:rPr/>
      </w:pPr>
      <w:r>
        <w:rPr/>
        <w:t xml:space="preserve">connective tissue disorders, </w:t>
      </w:r>
    </w:p>
    <w:p>
      <w:pPr>
        <w:pStyle w:val="BodyText"/>
        <w:numPr>
          <w:ilvl w:val="1"/>
          <w:numId w:val="10"/>
        </w:numPr>
        <w:tabs>
          <w:tab w:val="clear" w:pos="709"/>
          <w:tab w:val="left" w:pos="1418" w:leader="none"/>
        </w:tabs>
        <w:bidi w:val="0"/>
        <w:spacing w:before="0" w:after="0"/>
        <w:ind w:hanging="283" w:left="1418"/>
        <w:jc w:val="left"/>
        <w:rPr/>
      </w:pPr>
      <w:r>
        <w:rPr/>
        <w:t xml:space="preserve">birth trauma, </w:t>
      </w:r>
    </w:p>
    <w:p>
      <w:pPr>
        <w:pStyle w:val="BodyText"/>
        <w:numPr>
          <w:ilvl w:val="1"/>
          <w:numId w:val="10"/>
        </w:numPr>
        <w:tabs>
          <w:tab w:val="clear" w:pos="709"/>
          <w:tab w:val="left" w:pos="1418" w:leader="none"/>
        </w:tabs>
        <w:bidi w:val="0"/>
        <w:ind w:hanging="283" w:left="1418"/>
        <w:jc w:val="left"/>
        <w:rPr/>
      </w:pPr>
      <w:r>
        <w:rPr/>
        <w:t xml:space="preserve">metabolic bone disease. </w:t>
      </w:r>
    </w:p>
    <w:p>
      <w:pPr>
        <w:pStyle w:val="BodyText"/>
        <w:bidi w:val="0"/>
        <w:jc w:val="left"/>
        <w:rPr/>
      </w:pPr>
      <w:r>
        <w:rPr/>
        <w:t xml:space="preserve">These are real clinical considerations discussed in pediatric literature and practice. Some clinical discussions online also acknowledge that neonatal fractures can arise from difficult deliveries or underlying disorders. </w:t>
      </w:r>
    </w:p>
    <w:p>
      <w:pPr>
        <w:pStyle w:val="Horisontelllinje"/>
        <w:bidi w:val="0"/>
        <w:jc w:val="left"/>
        <w:rPr/>
      </w:pPr>
      <w:r>
        <w:rPr/>
      </w:r>
    </w:p>
    <w:p>
      <w:pPr>
        <w:pStyle w:val="Heading3"/>
        <w:bidi w:val="0"/>
        <w:jc w:val="left"/>
        <w:rPr/>
      </w:pPr>
      <w:r>
        <w:rPr/>
        <w:t>Weaknesses and criticisms</w:t>
      </w:r>
    </w:p>
    <w:p>
      <w:pPr>
        <w:pStyle w:val="BodyText"/>
        <w:bidi w:val="0"/>
        <w:jc w:val="left"/>
        <w:rPr/>
      </w:pPr>
      <w:r>
        <w:rPr/>
        <w:t>The papers have been criticized for several reasons: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Selective literature use</w:t>
      </w:r>
      <w:r>
        <w:rPr/>
        <w:br/>
        <w:t xml:space="preserve">Critics argue the authors heavily emphasize papers supporting non-abuse explanations while minimizing stronger evidence linking certain fracture patterns with abuse.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Case-report generalization</w:t>
      </w:r>
      <w:r>
        <w:rPr/>
        <w:br/>
        <w:t xml:space="preserve">The Bayesian paper is largely centered on one disputed case, limiting generalizability.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Potential advocacy framing</w:t>
      </w:r>
      <w:r>
        <w:rPr/>
        <w:br/>
        <w:t xml:space="preserve">Some reviewers believe the papers are written less as neutral scientific analyses and more as medico-legal advocacy documents.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Strong"/>
        </w:rPr>
        <w:t>Overstatement</w:t>
      </w:r>
      <w:r>
        <w:rPr/>
        <w:br/>
        <w:t xml:space="preserve">The title claim that asymptomatic rib fractures are “primarily non-abuse-related” is stronger than the available evidence likely supports.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rStyle w:val="Strong"/>
        </w:rPr>
        <w:t>Clinical oversimplification</w:t>
      </w:r>
      <w:r>
        <w:rPr/>
        <w:br/>
        <w:t xml:space="preserve">Real child-protection evaluations are rarely based on isolated rib fractures alone; they involve multidisciplinary interpretation. </w:t>
      </w:r>
    </w:p>
    <w:p>
      <w:pPr>
        <w:pStyle w:val="Horisontelllinje"/>
        <w:bidi w:val="0"/>
        <w:jc w:val="left"/>
        <w:rPr/>
      </w:pPr>
      <w:r>
        <w:rPr/>
      </w:r>
    </w:p>
    <w:p>
      <w:pPr>
        <w:pStyle w:val="Heading3"/>
        <w:bidi w:val="0"/>
        <w:jc w:val="left"/>
        <w:rPr/>
      </w:pPr>
      <w:r>
        <w:rPr/>
        <w:t>Overall assessment</w:t>
      </w:r>
    </w:p>
    <w:p>
      <w:pPr>
        <w:pStyle w:val="BodyText"/>
        <w:bidi w:val="0"/>
        <w:jc w:val="left"/>
        <w:rPr/>
      </w:pPr>
      <w:r>
        <w:rPr/>
        <w:t>A balanced interpretation would be: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the papers raise valid concerns about overdiagnosis, statistical misunderstanding, and incomplete differential diagnosis,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but many pediatric and forensic specialists believe the authors overcorrect and understate the evidentiary significance of certain injury patterns. </w:t>
      </w:r>
    </w:p>
    <w:p>
      <w:pPr>
        <w:pStyle w:val="BodyText"/>
        <w:bidi w:val="0"/>
        <w:jc w:val="left"/>
        <w:rPr/>
      </w:pPr>
      <w:r>
        <w:rPr/>
        <w:t>In evidence hierarchy terms: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these are largely interpretive/review and case-based papers,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not large prospective controlled studies,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so they should probably be viewed as contributions to an ongoing controversy rather than definitive overturning of established pediatric abuse diagnostics. </w:t>
      </w:r>
    </w:p>
    <w:p>
      <w:pPr>
        <w:pStyle w:val="Normal"/>
        <w:bidi w:val="0"/>
        <w:jc w:val="left"/>
        <w:rPr/>
      </w:pPr>
      <w:r>
        <w:rPr/>
      </w:r>
    </w:p>
    <w:sectPr>
      <w:type w:val="continuous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Liberation Mono">
    <w:altName w:val="Courier New"/>
    <w:charset w:val="00"/>
    <w:family w:val="modern"/>
    <w:pitch w:val="fixed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77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sv-S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sv-SE" w:eastAsia="zh-CN" w:bidi="hi-IN"/>
    </w:rPr>
  </w:style>
  <w:style w:type="paragraph" w:styleId="Heading2">
    <w:name w:val="heading 2"/>
    <w:basedOn w:val="Rubrik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Rubrik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Numreringstecken">
    <w:name w:val="Numreringstecken"/>
    <w:qFormat/>
    <w:rPr/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Punkter">
    <w:name w:val="Punkter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Rubrik">
    <w:name w:val="Rubri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Frteckning">
    <w:name w:val="Förteckning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Rubrik"/>
    <w:next w:val="BodyText"/>
    <w:qFormat/>
    <w:pPr>
      <w:jc w:val="center"/>
    </w:pPr>
    <w:rPr>
      <w:b/>
      <w:bCs/>
      <w:sz w:val="56"/>
      <w:szCs w:val="56"/>
    </w:rPr>
  </w:style>
  <w:style w:type="paragraph" w:styleId="Frformateradtext">
    <w:name w:val="Förformatera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Horisontelllinje">
    <w:name w:val="Horisontell linj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ellinnehll">
    <w:name w:val="Tabellinnehåll"/>
    <w:basedOn w:val="Normal"/>
    <w:qFormat/>
    <w:pPr>
      <w:widowControl w:val="false"/>
      <w:suppressLineNumbers/>
    </w:pPr>
    <w:rPr/>
  </w:style>
  <w:style w:type="paragraph" w:styleId="Tabellrubrik">
    <w:name w:val="Tabellrubrik"/>
    <w:basedOn w:val="Tabellinnehll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oi.org/10.3390/children10111827?utm_source=chatgpt.com" TargetMode="External"/><Relationship Id="rId3" Type="http://schemas.openxmlformats.org/officeDocument/2006/relationships/hyperlink" Target="https://doi.org/10.3390/children10050843?utm_source=chatgpt.com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min mall</Template>
  <TotalTime>1</TotalTime>
  <Application>LibreOffice/25.8.3.2$Windows_X86_64 LibreOffice_project/8ca8d55c161d602844f5428fa4b58097424e324e</Application>
  <AppVersion>15.0000</AppVersion>
  <Pages>4</Pages>
  <Words>993</Words>
  <Characters>6611</Characters>
  <CharactersWithSpaces>7516</CharactersWithSpaces>
  <Paragraphs>110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2026-05-08T08:57:00Z</dcterms:created>
  <dc:creator/>
  <dc:description/>
  <dc:language>en-US</dc:language>
  <cp:lastModifiedBy/>
  <dcterms:modified xsi:type="dcterms:W3CDTF">2026-05-08T08:58:02Z</dcterms:modified>
  <cp:revision>2</cp:revision>
  <dc:subject/>
  <dc:title>min mall</dc:title>
</cp:coreProperties>
</file>